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991" w:rsidRPr="00085A38" w:rsidRDefault="00F8074C" w:rsidP="00BD6F21">
      <w:pPr>
        <w:pStyle w:val="PlainText"/>
        <w:rPr>
          <w:b/>
        </w:rPr>
      </w:pPr>
      <w:r w:rsidRPr="00085A38">
        <w:rPr>
          <w:b/>
        </w:rPr>
        <w:t>Work package 2.6</w:t>
      </w:r>
    </w:p>
    <w:p w:rsidR="00006991" w:rsidRPr="00085A38" w:rsidRDefault="00006991" w:rsidP="00006991">
      <w:pPr>
        <w:pStyle w:val="PlainText"/>
        <w:ind w:left="850"/>
        <w:rPr>
          <w:b/>
        </w:rPr>
      </w:pPr>
    </w:p>
    <w:p w:rsidR="0036218D" w:rsidRPr="00085A38" w:rsidRDefault="0036218D" w:rsidP="00006991">
      <w:pPr>
        <w:pStyle w:val="PlainText"/>
        <w:ind w:left="850"/>
        <w:rPr>
          <w:b/>
        </w:rPr>
      </w:pPr>
    </w:p>
    <w:p w:rsidR="0036218D" w:rsidRPr="00085A38" w:rsidRDefault="0036218D" w:rsidP="00BD6F21">
      <w:pPr>
        <w:pStyle w:val="PlainText"/>
        <w:rPr>
          <w:b/>
        </w:rPr>
      </w:pPr>
      <w:r w:rsidRPr="00085A38">
        <w:rPr>
          <w:b/>
        </w:rPr>
        <w:t>Partner</w:t>
      </w:r>
    </w:p>
    <w:p w:rsidR="0050110C" w:rsidRDefault="0050110C" w:rsidP="00BD6F21">
      <w:pPr>
        <w:pStyle w:val="PlainText"/>
        <w:rPr>
          <w:lang w:val="da-DK"/>
        </w:rPr>
      </w:pPr>
      <w:r w:rsidRPr="00C836C3">
        <w:rPr>
          <w:lang w:val="da-DK"/>
        </w:rPr>
        <w:t>DTU Space</w:t>
      </w:r>
      <w:r>
        <w:rPr>
          <w:lang w:val="da-DK"/>
        </w:rPr>
        <w:t>:</w:t>
      </w:r>
      <w:r w:rsidRPr="00C836C3">
        <w:rPr>
          <w:lang w:val="da-DK"/>
        </w:rPr>
        <w:t xml:space="preserve"> Rene Forsber</w:t>
      </w:r>
      <w:r>
        <w:rPr>
          <w:lang w:val="da-DK"/>
        </w:rPr>
        <w:t xml:space="preserve">g, Stine Kildegaard Poulsen, </w:t>
      </w:r>
      <w:r w:rsidRPr="003C4E58">
        <w:rPr>
          <w:lang w:val="da-DK"/>
        </w:rPr>
        <w:t>Indriði</w:t>
      </w:r>
      <w:r>
        <w:rPr>
          <w:lang w:val="da-DK"/>
        </w:rPr>
        <w:t xml:space="preserve"> Einarsson, Henriette Skourup</w:t>
      </w:r>
      <w:r w:rsidRPr="0050110C">
        <w:rPr>
          <w:lang w:val="da-DK"/>
        </w:rPr>
        <w:t xml:space="preserve"> </w:t>
      </w:r>
    </w:p>
    <w:p w:rsidR="003E0755" w:rsidRPr="0050110C" w:rsidRDefault="003E0755" w:rsidP="00BD6F21">
      <w:pPr>
        <w:pStyle w:val="PlainText"/>
        <w:rPr>
          <w:lang w:val="da-DK"/>
        </w:rPr>
      </w:pPr>
      <w:r w:rsidRPr="0050110C">
        <w:rPr>
          <w:lang w:val="da-DK"/>
        </w:rPr>
        <w:t xml:space="preserve">NERSC: </w:t>
      </w:r>
    </w:p>
    <w:p w:rsidR="00274167" w:rsidRDefault="00274167" w:rsidP="00BD6F21">
      <w:pPr>
        <w:pStyle w:val="PlainText"/>
      </w:pPr>
      <w:r>
        <w:t>UHAM</w:t>
      </w:r>
      <w:r w:rsidR="002540FE">
        <w:t>:</w:t>
      </w:r>
    </w:p>
    <w:p w:rsidR="0036218D" w:rsidRPr="000376A0" w:rsidRDefault="0036218D" w:rsidP="00006991">
      <w:pPr>
        <w:pStyle w:val="PlainText"/>
        <w:ind w:left="850"/>
        <w:rPr>
          <w:b/>
          <w:lang w:val="da-DK"/>
        </w:rPr>
      </w:pPr>
    </w:p>
    <w:p w:rsidR="005C3DB3" w:rsidRDefault="005C3DB3" w:rsidP="00BD6F21">
      <w:pPr>
        <w:pStyle w:val="PlainText"/>
        <w:rPr>
          <w:b/>
        </w:rPr>
      </w:pPr>
      <w:r>
        <w:rPr>
          <w:b/>
        </w:rPr>
        <w:t>Deliverable 2.2.</w:t>
      </w:r>
      <w:r w:rsidR="009E3B7D">
        <w:rPr>
          <w:b/>
        </w:rPr>
        <w:t>1</w:t>
      </w:r>
      <w:r w:rsidR="00E717FB">
        <w:rPr>
          <w:b/>
        </w:rPr>
        <w:t xml:space="preserve"> </w:t>
      </w:r>
      <w:r w:rsidR="001A6BDE" w:rsidRPr="001A6BDE">
        <w:t>In progress</w:t>
      </w:r>
      <w:r w:rsidRPr="001A6BDE">
        <w:t xml:space="preserve"> </w:t>
      </w:r>
    </w:p>
    <w:p w:rsidR="005C3DB3" w:rsidRDefault="001A6BDE" w:rsidP="00BD6F21">
      <w:pPr>
        <w:pStyle w:val="PlainText"/>
        <w:rPr>
          <w:b/>
        </w:rPr>
      </w:pPr>
      <w:r>
        <w:rPr>
          <w:b/>
        </w:rPr>
        <w:t>Deliverable 2.2.</w:t>
      </w:r>
      <w:r w:rsidR="009E3B7D">
        <w:rPr>
          <w:b/>
        </w:rPr>
        <w:t>2</w:t>
      </w:r>
      <w:r w:rsidR="00E717FB">
        <w:rPr>
          <w:b/>
        </w:rPr>
        <w:t xml:space="preserve"> </w:t>
      </w:r>
      <w:r w:rsidRPr="001A6BDE">
        <w:t>In progress</w:t>
      </w:r>
    </w:p>
    <w:p w:rsidR="001A6BDE" w:rsidRDefault="001A6BDE" w:rsidP="00BD6F21">
      <w:pPr>
        <w:pStyle w:val="PlainText"/>
      </w:pPr>
      <w:r>
        <w:rPr>
          <w:b/>
        </w:rPr>
        <w:t>Deliverable 2.2.</w:t>
      </w:r>
      <w:r w:rsidR="009E3B7D">
        <w:rPr>
          <w:b/>
        </w:rPr>
        <w:t>3</w:t>
      </w:r>
      <w:r w:rsidR="00E717FB">
        <w:rPr>
          <w:b/>
        </w:rPr>
        <w:t xml:space="preserve"> </w:t>
      </w:r>
      <w:r w:rsidRPr="001A6BDE">
        <w:t>In progress</w:t>
      </w:r>
      <w:r w:rsidR="009E3B7D" w:rsidRPr="001A6BDE">
        <w:t xml:space="preserve"> </w:t>
      </w:r>
    </w:p>
    <w:p w:rsidR="00A166F3" w:rsidRDefault="00A166F3" w:rsidP="00BD6F21">
      <w:pPr>
        <w:pStyle w:val="PlainText"/>
        <w:rPr>
          <w:b/>
        </w:rPr>
      </w:pPr>
      <w:r>
        <w:rPr>
          <w:b/>
        </w:rPr>
        <w:t>Deliverable 2.2.4</w:t>
      </w:r>
      <w:r w:rsidR="00E717FB">
        <w:rPr>
          <w:b/>
        </w:rPr>
        <w:t xml:space="preserve"> </w:t>
      </w:r>
      <w:r w:rsidR="00C12DCA">
        <w:t>Pending</w:t>
      </w:r>
      <w:r w:rsidR="000D75F2">
        <w:t xml:space="preserve"> </w:t>
      </w:r>
      <w:r w:rsidR="002B63A1">
        <w:t>res</w:t>
      </w:r>
      <w:r w:rsidR="00836D8B">
        <w:t>ults from other work packages</w:t>
      </w:r>
      <w:r w:rsidR="00536479">
        <w:t xml:space="preserve"> WP 2.1 and WP 2.2</w:t>
      </w:r>
    </w:p>
    <w:p w:rsidR="00526A98" w:rsidRDefault="00526A98" w:rsidP="00BD6F21">
      <w:pPr>
        <w:pStyle w:val="PlainText"/>
        <w:rPr>
          <w:b/>
        </w:rPr>
      </w:pPr>
    </w:p>
    <w:p w:rsidR="00006991" w:rsidRDefault="00006991" w:rsidP="00BD6F21">
      <w:pPr>
        <w:pStyle w:val="PlainText"/>
        <w:rPr>
          <w:b/>
        </w:rPr>
      </w:pPr>
      <w:r>
        <w:rPr>
          <w:b/>
        </w:rPr>
        <w:t>S</w:t>
      </w:r>
      <w:r w:rsidRPr="004E4A78">
        <w:rPr>
          <w:b/>
        </w:rPr>
        <w:t>ummary of progress</w:t>
      </w:r>
    </w:p>
    <w:p w:rsidR="00F162CE" w:rsidRPr="00B52945" w:rsidRDefault="008A213B" w:rsidP="00F162CE">
      <w:pPr>
        <w:pStyle w:val="PlainText"/>
      </w:pPr>
      <w:r>
        <w:t xml:space="preserve">Sea ice freeboard heights </w:t>
      </w:r>
      <w:r w:rsidR="00E82BE4">
        <w:t xml:space="preserve">and dynamic topography </w:t>
      </w:r>
      <w:r>
        <w:t xml:space="preserve">are available for the Arctic Ocean from ICESat data, and first </w:t>
      </w:r>
      <w:r w:rsidR="005E36D1">
        <w:t>studies of CryoSat-2 data has been obtained</w:t>
      </w:r>
      <w:r>
        <w:t>.</w:t>
      </w:r>
      <w:r w:rsidR="00E82BE4">
        <w:t xml:space="preserve"> Recent studies suggest to use a R-value R = 3-3.5 for conversion of ICESat freeboard</w:t>
      </w:r>
      <w:r w:rsidR="005401BD">
        <w:t xml:space="preserve"> heights </w:t>
      </w:r>
      <w:r w:rsidR="00E82BE4">
        <w:t>into thicknesses.</w:t>
      </w:r>
      <w:r w:rsidR="006942E8">
        <w:t xml:space="preserve"> </w:t>
      </w:r>
      <w:r w:rsidR="005945E1" w:rsidRPr="005945E1">
        <w:rPr>
          <w:highlight w:val="green"/>
        </w:rPr>
        <w:t>INPUT NERSC AND UHAM</w:t>
      </w:r>
      <w:r w:rsidR="00F44A13">
        <w:t xml:space="preserve"> </w:t>
      </w:r>
    </w:p>
    <w:p w:rsidR="00006991" w:rsidRDefault="00006991" w:rsidP="00006991">
      <w:pPr>
        <w:pStyle w:val="PlainText"/>
        <w:ind w:left="850"/>
      </w:pPr>
    </w:p>
    <w:p w:rsidR="00AD4438" w:rsidRDefault="00AC5EAD" w:rsidP="00326195">
      <w:r w:rsidRPr="00346255">
        <w:rPr>
          <w:b/>
          <w:i/>
          <w:lang w:val="en-GB"/>
        </w:rPr>
        <w:t>T</w:t>
      </w:r>
      <w:r w:rsidR="00031F36" w:rsidRPr="00346255">
        <w:rPr>
          <w:b/>
          <w:i/>
        </w:rPr>
        <w:t>ask 2.6.1:</w:t>
      </w:r>
      <w:r w:rsidR="00031F36" w:rsidRPr="00346255">
        <w:rPr>
          <w:i/>
        </w:rPr>
        <w:t xml:space="preserve"> </w:t>
      </w:r>
      <w:r w:rsidR="00031F36" w:rsidRPr="00346255">
        <w:t xml:space="preserve"> </w:t>
      </w:r>
    </w:p>
    <w:p w:rsidR="00056A43" w:rsidRDefault="00F5720A" w:rsidP="00326195">
      <w:r>
        <w:rPr>
          <w:noProof/>
        </w:rPr>
        <w:drawing>
          <wp:anchor distT="0" distB="0" distL="114300" distR="114300" simplePos="0" relativeHeight="251661312" behindDoc="0" locked="0" layoutInCell="1" allowOverlap="1" wp14:anchorId="7F7DA4F2" wp14:editId="122DE78E">
            <wp:simplePos x="0" y="0"/>
            <wp:positionH relativeFrom="column">
              <wp:posOffset>2618740</wp:posOffset>
            </wp:positionH>
            <wp:positionV relativeFrom="paragraph">
              <wp:posOffset>1117600</wp:posOffset>
            </wp:positionV>
            <wp:extent cx="2519680" cy="25196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bL3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sidR="00326195">
        <w:t>Sea ice freeboard heights</w:t>
      </w:r>
      <w:r w:rsidR="00326195" w:rsidRPr="00673C27">
        <w:t xml:space="preserve"> </w:t>
      </w:r>
      <w:r w:rsidR="005C3281">
        <w:t xml:space="preserve">and </w:t>
      </w:r>
      <w:r w:rsidR="009F277F">
        <w:t xml:space="preserve">dynamic topography </w:t>
      </w:r>
      <w:r w:rsidR="00326195" w:rsidRPr="00673C27">
        <w:t>of the Arctic Ocean</w:t>
      </w:r>
      <w:r w:rsidR="00326195">
        <w:t xml:space="preserve"> observed from ICESat altimetry 2003-2008 release 28</w:t>
      </w:r>
      <w:r w:rsidR="009962AB">
        <w:t xml:space="preserve"> are</w:t>
      </w:r>
      <w:r w:rsidR="00B40E52">
        <w:t xml:space="preserve"> available in grids of resolution </w:t>
      </w:r>
      <w:r w:rsidR="00560FFD">
        <w:t>0.1</w:t>
      </w:r>
      <w:r w:rsidR="00061567">
        <w:rPr>
          <w:rFonts w:ascii="High Tower Text" w:hAnsi="High Tower Text"/>
        </w:rPr>
        <w:t>°</w:t>
      </w:r>
      <w:r w:rsidR="00560FFD">
        <w:t>x0.2</w:t>
      </w:r>
      <w:r w:rsidR="00061567">
        <w:rPr>
          <w:rFonts w:ascii="High Tower Text" w:hAnsi="High Tower Text"/>
        </w:rPr>
        <w:t>°</w:t>
      </w:r>
      <w:r w:rsidR="00326195">
        <w:t>.</w:t>
      </w:r>
      <w:r w:rsidR="00280B7C">
        <w:t xml:space="preserve"> The procedures </w:t>
      </w:r>
      <w:r w:rsidR="00061567">
        <w:t xml:space="preserve">and results </w:t>
      </w:r>
      <w:r w:rsidR="00280B7C">
        <w:t>are described in Skourup (2010).</w:t>
      </w:r>
      <w:r w:rsidR="002A0247">
        <w:t xml:space="preserve"> Two examples are s</w:t>
      </w:r>
      <w:r w:rsidR="0025794E">
        <w:t>hown in the figure below</w:t>
      </w:r>
      <w:r w:rsidR="002A0247">
        <w:t xml:space="preserve"> from </w:t>
      </w:r>
      <w:r w:rsidR="00056A43">
        <w:t xml:space="preserve">ICESat periods </w:t>
      </w:r>
      <w:r w:rsidR="002A0247">
        <w:t xml:space="preserve">October-November </w:t>
      </w:r>
      <w:r w:rsidR="00056A43">
        <w:t xml:space="preserve">2005 </w:t>
      </w:r>
      <w:r w:rsidR="0025794E">
        <w:t xml:space="preserve">(left) </w:t>
      </w:r>
      <w:r w:rsidR="00056A43">
        <w:t>and February-March 2006</w:t>
      </w:r>
      <w:r w:rsidR="0025794E">
        <w:t xml:space="preserve"> (right)</w:t>
      </w:r>
      <w:r w:rsidR="00056A43">
        <w:t>.</w:t>
      </w:r>
      <w:r w:rsidR="002F6A5A">
        <w:t xml:space="preserve"> </w:t>
      </w:r>
      <w:r w:rsidR="009E7640">
        <w:t xml:space="preserve">The sea ice freeboard heights show good correlation </w:t>
      </w:r>
      <w:r w:rsidR="00C27CCB">
        <w:t xml:space="preserve">with backscatter values from </w:t>
      </w:r>
      <w:r w:rsidR="009E7640">
        <w:t>QuikSCAT scatterometer data (Skourup, 2010).</w:t>
      </w:r>
    </w:p>
    <w:p w:rsidR="00056A43" w:rsidRDefault="004428A4" w:rsidP="00326195">
      <w:r>
        <w:rPr>
          <w:rFonts w:cstheme="minorHAnsi"/>
          <w:noProof/>
        </w:rPr>
        <w:drawing>
          <wp:anchor distT="0" distB="0" distL="114300" distR="114300" simplePos="0" relativeHeight="251663360" behindDoc="0" locked="0" layoutInCell="1" allowOverlap="1" wp14:anchorId="22B3400C" wp14:editId="51ACC634">
            <wp:simplePos x="0" y="0"/>
            <wp:positionH relativeFrom="column">
              <wp:posOffset>5245735</wp:posOffset>
            </wp:positionH>
            <wp:positionV relativeFrom="paragraph">
              <wp:posOffset>480060</wp:posOffset>
            </wp:positionV>
            <wp:extent cx="619760" cy="2127250"/>
            <wp:effectExtent l="0" t="0" r="889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QSCATscale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760" cy="2127250"/>
                    </a:xfrm>
                    <a:prstGeom prst="rect">
                      <a:avLst/>
                    </a:prstGeom>
                  </pic:spPr>
                </pic:pic>
              </a:graphicData>
            </a:graphic>
            <wp14:sizeRelH relativeFrom="margin">
              <wp14:pctWidth>0</wp14:pctWidth>
            </wp14:sizeRelH>
            <wp14:sizeRelV relativeFrom="margin">
              <wp14:pctHeight>0</wp14:pctHeight>
            </wp14:sizeRelV>
          </wp:anchor>
        </w:drawing>
      </w:r>
      <w:r w:rsidR="008C5BFC">
        <w:rPr>
          <w:noProof/>
        </w:rPr>
        <w:drawing>
          <wp:anchor distT="0" distB="0" distL="114300" distR="114300" simplePos="0" relativeHeight="251662336" behindDoc="0" locked="0" layoutInCell="1" allowOverlap="1" wp14:anchorId="2E209999" wp14:editId="33B14A97">
            <wp:simplePos x="0" y="0"/>
            <wp:positionH relativeFrom="column">
              <wp:posOffset>0</wp:posOffset>
            </wp:positionH>
            <wp:positionV relativeFrom="paragraph">
              <wp:posOffset>635</wp:posOffset>
            </wp:positionV>
            <wp:extent cx="2520000" cy="252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bL3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14:sizeRelH relativeFrom="margin">
              <wp14:pctWidth>0</wp14:pctWidth>
            </wp14:sizeRelH>
            <wp14:sizeRelV relativeFrom="margin">
              <wp14:pctHeight>0</wp14:pctHeight>
            </wp14:sizeRelV>
          </wp:anchor>
        </w:drawing>
      </w:r>
    </w:p>
    <w:p w:rsidR="006E57AC" w:rsidRDefault="006E57AC" w:rsidP="00326195"/>
    <w:p w:rsidR="00C50C94" w:rsidRDefault="00D716A3" w:rsidP="00326195">
      <w:r>
        <w:t xml:space="preserve">The freeboard </w:t>
      </w:r>
      <w:r w:rsidR="00FD5124">
        <w:t xml:space="preserve">(f) </w:t>
      </w:r>
      <w:r>
        <w:t xml:space="preserve">to thickness </w:t>
      </w:r>
      <w:r w:rsidR="00FD5124">
        <w:t xml:space="preserve">(t) </w:t>
      </w:r>
      <w:r>
        <w:t>conversion</w:t>
      </w:r>
      <w:r w:rsidR="00FD5124">
        <w:t xml:space="preserve"> </w:t>
      </w:r>
      <m:oMath>
        <m:r>
          <w:rPr>
            <w:rFonts w:ascii="Cambria Math" w:hAnsi="Cambria Math"/>
          </w:rPr>
          <m:t>(t=</m:t>
        </m:r>
        <m:d>
          <m:dPr>
            <m:ctrlPr>
              <w:rPr>
                <w:rFonts w:ascii="Cambria Math" w:hAnsi="Cambria Math"/>
                <w:i/>
              </w:rPr>
            </m:ctrlPr>
          </m:dPr>
          <m:e>
            <m:r>
              <w:rPr>
                <w:rFonts w:ascii="Cambria Math" w:hAnsi="Cambria Math"/>
              </w:rPr>
              <m:t>1+R</m:t>
            </m:r>
          </m:e>
        </m:d>
        <m:r>
          <w:rPr>
            <w:rFonts w:ascii="Cambria Math" w:hAnsi="Cambria Math"/>
          </w:rPr>
          <m:t>*f</m:t>
        </m:r>
      </m:oMath>
      <w:r w:rsidR="00FD5124">
        <w:t>)</w:t>
      </w:r>
      <w:r w:rsidR="00781639">
        <w:t xml:space="preserve"> </w:t>
      </w:r>
      <w:r w:rsidR="002225E8">
        <w:t>is debated in many papers</w:t>
      </w:r>
      <w:r w:rsidR="00BE448D">
        <w:t xml:space="preserve"> and is highly variable (R = 1-10)</w:t>
      </w:r>
      <w:r w:rsidR="0051258C">
        <w:t xml:space="preserve"> depending on sea ice type, settings and snow conditions</w:t>
      </w:r>
      <w:r w:rsidR="002225E8">
        <w:t>.</w:t>
      </w:r>
      <w:r w:rsidR="00744206">
        <w:t xml:space="preserve"> </w:t>
      </w:r>
      <w:r w:rsidR="002313BC">
        <w:t>Recent studies</w:t>
      </w:r>
      <w:r w:rsidR="002A0E15">
        <w:t xml:space="preserve"> </w:t>
      </w:r>
      <w:r w:rsidR="00A37D25">
        <w:t xml:space="preserve">of the relation between freeboard and draft </w:t>
      </w:r>
      <w:r w:rsidR="002A0E15">
        <w:t xml:space="preserve">by </w:t>
      </w:r>
      <w:r w:rsidR="002A0E15">
        <w:t>Doble et al (2011)</w:t>
      </w:r>
      <w:r w:rsidR="0026118A">
        <w:t>, finds</w:t>
      </w:r>
      <w:r w:rsidR="00F27027">
        <w:t xml:space="preserve"> </w:t>
      </w:r>
      <w:r w:rsidR="00BA0628">
        <w:t xml:space="preserve">a </w:t>
      </w:r>
      <w:r w:rsidR="002A0E15">
        <w:t xml:space="preserve">R-value of 3-3.5 </w:t>
      </w:r>
      <w:r w:rsidR="003C6FE3">
        <w:t xml:space="preserve">for ICESat </w:t>
      </w:r>
      <w:r w:rsidR="003C6FE3">
        <w:lastRenderedPageBreak/>
        <w:t xml:space="preserve">measurements. Thus, it is suggested </w:t>
      </w:r>
      <w:r w:rsidR="004618F4">
        <w:t xml:space="preserve">to use these values </w:t>
      </w:r>
      <w:r w:rsidR="00EC75DC">
        <w:t xml:space="preserve">to convert the sea ice freeboard heights of ICESat </w:t>
      </w:r>
      <w:r w:rsidR="00C47A80">
        <w:t xml:space="preserve">presented above into sea ice thicknesses. </w:t>
      </w:r>
    </w:p>
    <w:p w:rsidR="00894BB0" w:rsidRDefault="006440EB" w:rsidP="00327ECF">
      <w:pPr>
        <w:jc w:val="both"/>
      </w:pPr>
      <w:r>
        <w:t>CryoSat</w:t>
      </w:r>
      <w:r w:rsidR="00220947">
        <w:t>-2</w:t>
      </w:r>
      <w:r>
        <w:t xml:space="preserve"> was launched April </w:t>
      </w:r>
      <w:r w:rsidR="00894BB0">
        <w:t>2010</w:t>
      </w:r>
      <w:r w:rsidR="005F37AF">
        <w:t xml:space="preserve">. </w:t>
      </w:r>
      <w:r w:rsidR="005D5E65">
        <w:t xml:space="preserve">The </w:t>
      </w:r>
      <w:r w:rsidR="00B16E51">
        <w:t xml:space="preserve">upcoming </w:t>
      </w:r>
      <w:r w:rsidR="00894BB0">
        <w:t>ESA calibration and v</w:t>
      </w:r>
      <w:r w:rsidR="00B16E51">
        <w:t xml:space="preserve">alidation campaign CryoVEx 2011 is the first validation campaign with direct measurements of CryoSat-2. </w:t>
      </w:r>
      <w:r w:rsidR="00894BB0">
        <w:t>DTU Space is involved i</w:t>
      </w:r>
      <w:r w:rsidR="00A57449">
        <w:t>n the airborne measurements</w:t>
      </w:r>
      <w:r w:rsidR="00B16E51">
        <w:t>, whi</w:t>
      </w:r>
      <w:r w:rsidR="00A57449">
        <w:t>ch include overflights</w:t>
      </w:r>
      <w:r w:rsidR="00B16E51">
        <w:t xml:space="preserve"> of ground teams working on the sea ice and direct underflights</w:t>
      </w:r>
      <w:r w:rsidR="00894BB0">
        <w:t xml:space="preserve"> of </w:t>
      </w:r>
      <w:r w:rsidR="00B16E51">
        <w:t xml:space="preserve">CryoSat-2 </w:t>
      </w:r>
      <w:r w:rsidR="00894BB0">
        <w:t>over the Arctic sea ice. For a more detailed description</w:t>
      </w:r>
      <w:r w:rsidR="00A57449">
        <w:t xml:space="preserve"> of the program</w:t>
      </w:r>
      <w:r w:rsidR="00E85B06">
        <w:t>,</w:t>
      </w:r>
      <w:r w:rsidR="00894BB0">
        <w:t xml:space="preserve"> see Skourup et al (2011).</w:t>
      </w:r>
    </w:p>
    <w:p w:rsidR="00327ECF" w:rsidRDefault="002806F4" w:rsidP="00327ECF">
      <w:pPr>
        <w:jc w:val="both"/>
      </w:pPr>
      <w:r>
        <w:t>F</w:t>
      </w:r>
      <w:r w:rsidR="001E0F08">
        <w:t>irst studies</w:t>
      </w:r>
      <w:r w:rsidR="00327ECF">
        <w:t xml:space="preserve"> of</w:t>
      </w:r>
      <w:r w:rsidR="0001305A">
        <w:t xml:space="preserve"> sea ice from CryoSat-2 data have</w:t>
      </w:r>
      <w:r w:rsidR="00327ECF">
        <w:t xml:space="preserve"> bee</w:t>
      </w:r>
      <w:r w:rsidR="0001305A">
        <w:t>n carried out in Poulsen et al</w:t>
      </w:r>
      <w:r w:rsidR="00AB377B">
        <w:t>.</w:t>
      </w:r>
      <w:r w:rsidR="00327ECF">
        <w:t xml:space="preserve"> </w:t>
      </w:r>
      <w:r w:rsidR="007C272D">
        <w:t>(</w:t>
      </w:r>
      <w:r w:rsidR="00327ECF">
        <w:t>2011</w:t>
      </w:r>
      <w:r w:rsidR="007C272D">
        <w:t>)</w:t>
      </w:r>
      <w:r w:rsidR="00327ECF">
        <w:t xml:space="preserve">. Data used is from the commissioning phase, where the SAR data still contained errors, therefore, an ice thickness analysis is too early to carry out at this stage. </w:t>
      </w:r>
    </w:p>
    <w:p w:rsidR="00327ECF" w:rsidRDefault="00327ECF" w:rsidP="00327ECF">
      <w:pPr>
        <w:jc w:val="both"/>
      </w:pPr>
      <w:r>
        <w:t xml:space="preserve">Due to errors in the tropospheric correction, data used in </w:t>
      </w:r>
      <w:r w:rsidR="00D9711C">
        <w:t>Poulsen et</w:t>
      </w:r>
      <w:r>
        <w:t xml:space="preserve"> al. </w:t>
      </w:r>
      <w:r w:rsidR="007C272D">
        <w:t>(</w:t>
      </w:r>
      <w:r>
        <w:t>2011</w:t>
      </w:r>
      <w:r w:rsidR="007C272D">
        <w:t>)</w:t>
      </w:r>
      <w:r>
        <w:t xml:space="preserve"> has been reprocessed without applying this correction. As shown in Stenseng </w:t>
      </w:r>
      <w:r w:rsidR="007C272D">
        <w:t>(</w:t>
      </w:r>
      <w:r>
        <w:t>2011</w:t>
      </w:r>
      <w:r w:rsidR="007C272D">
        <w:t>)</w:t>
      </w:r>
      <w:r>
        <w:t>, the leads can be detected by power, stack skewness and kurtosis above a certain threshold. It was also shown, that what we at first interpreted as ridges or very rough ice, was an effect of power leaking from very large magnitude of the power from the leads, due to side loops of the synthetic aperture. These side loops were misinterpreted</w:t>
      </w:r>
      <w:r>
        <w:cr/>
        <w:t xml:space="preserve"> as height in the retracker. Fig. 1 show the height with respect to DTU10 MSS </w:t>
      </w:r>
      <w:r w:rsidR="004D202D">
        <w:t>(Andersen and Knudsen 2008)</w:t>
      </w:r>
      <w:r>
        <w:t xml:space="preserve"> derived from a 80 % beta threshold retracker (red), Stack kurtosis (green), stack skewness (black) and the return power (blue). The red dotted areas indicate detected leads, the threshold was set to 10−12 W. The figure show a large offset in the retracking height of about 8 m. This is due to instrument delays, wrong geophysical corrections and/or errors in the supplied corrections. </w:t>
      </w:r>
    </w:p>
    <w:p w:rsidR="00327ECF" w:rsidRDefault="00327ECF" w:rsidP="00327ECF">
      <w:pPr>
        <w:jc w:val="both"/>
        <w:rPr>
          <w:b/>
          <w:bCs/>
        </w:rPr>
      </w:pPr>
    </w:p>
    <w:p w:rsidR="00327ECF" w:rsidRDefault="002F6A5A" w:rsidP="00327ECF">
      <w:pPr>
        <w:rPr>
          <w:b/>
          <w:bCs/>
        </w:rPr>
      </w:pPr>
      <w:r>
        <w:rPr>
          <w:noProof/>
        </w:rPr>
        <w:drawing>
          <wp:anchor distT="0" distB="0" distL="0" distR="0" simplePos="0" relativeHeight="251660288" behindDoc="0" locked="0" layoutInCell="1" allowOverlap="1" wp14:anchorId="0CD14299" wp14:editId="52F4AC71">
            <wp:simplePos x="0" y="0"/>
            <wp:positionH relativeFrom="column">
              <wp:align>center</wp:align>
            </wp:positionH>
            <wp:positionV relativeFrom="paragraph">
              <wp:posOffset>0</wp:posOffset>
            </wp:positionV>
            <wp:extent cx="5367655" cy="3290570"/>
            <wp:effectExtent l="0" t="0" r="4445" b="508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7655" cy="3290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7ECF" w:rsidRDefault="00327ECF" w:rsidP="00327ECF">
      <w:pPr>
        <w:rPr>
          <w:b/>
          <w:bCs/>
        </w:rPr>
      </w:pPr>
    </w:p>
    <w:p w:rsidR="00327ECF" w:rsidRDefault="00327ECF" w:rsidP="00327ECF">
      <w:pPr>
        <w:rPr>
          <w:b/>
          <w:bCs/>
        </w:rPr>
      </w:pPr>
    </w:p>
    <w:p w:rsidR="00F17BF8" w:rsidRDefault="00F17BF8" w:rsidP="00327ECF"/>
    <w:p w:rsidR="00F17BF8" w:rsidRDefault="00F17BF8" w:rsidP="00327ECF"/>
    <w:p w:rsidR="00F17BF8" w:rsidRDefault="00F17BF8" w:rsidP="00327ECF"/>
    <w:p w:rsidR="00F17BF8" w:rsidRDefault="00F17BF8" w:rsidP="00327ECF"/>
    <w:p w:rsidR="00F17BF8" w:rsidRDefault="00F17BF8" w:rsidP="00327ECF"/>
    <w:p w:rsidR="00327ECF" w:rsidRDefault="008542D5" w:rsidP="00327ECF">
      <w:pPr>
        <w:jc w:val="both"/>
      </w:pPr>
      <w:r>
        <w:t xml:space="preserve">In the figure </w:t>
      </w:r>
      <w:r>
        <w:lastRenderedPageBreak/>
        <w:t xml:space="preserve">below </w:t>
      </w:r>
      <w:r w:rsidR="00327ECF">
        <w:t>the normalized return power is plotted on an Envisat SAR 100 m resolution image</w:t>
      </w:r>
      <w:r>
        <w:t xml:space="preserve"> from October 8 at 19:17 UTC</w:t>
      </w:r>
      <w:r w:rsidR="00327ECF">
        <w:t xml:space="preserve">. </w:t>
      </w:r>
      <w:r w:rsidR="007233BC">
        <w:t xml:space="preserve">There is a </w:t>
      </w:r>
      <w:r w:rsidR="00327ECF">
        <w:t>clear correspondence between the black areas (smooth</w:t>
      </w:r>
      <w:r w:rsidR="007233BC">
        <w:t xml:space="preserve"> </w:t>
      </w:r>
      <w:r w:rsidR="00327ECF">
        <w:t>areas probably leads or refrozen leads) and the normalized power.</w:t>
      </w:r>
      <w:r w:rsidR="00327ECF">
        <w:cr/>
      </w:r>
    </w:p>
    <w:p w:rsidR="00903BDF" w:rsidRDefault="00327ECF" w:rsidP="00031F36">
      <w:pPr>
        <w:rPr>
          <w:rFonts w:cs="Arial"/>
          <w:b/>
          <w:i/>
        </w:rPr>
      </w:pPr>
      <w:r>
        <w:rPr>
          <w:noProof/>
        </w:rPr>
        <w:drawing>
          <wp:anchor distT="0" distB="0" distL="0" distR="0" simplePos="0" relativeHeight="251659264" behindDoc="0" locked="0" layoutInCell="1" allowOverlap="1" wp14:anchorId="181D70B7" wp14:editId="3C79D55A">
            <wp:simplePos x="0" y="0"/>
            <wp:positionH relativeFrom="column">
              <wp:align>center</wp:align>
            </wp:positionH>
            <wp:positionV relativeFrom="paragraph">
              <wp:posOffset>0</wp:posOffset>
            </wp:positionV>
            <wp:extent cx="6119495" cy="2482215"/>
            <wp:effectExtent l="0" t="0" r="0" b="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2482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153E" w:rsidRDefault="00031F36" w:rsidP="00031F36">
      <w:pPr>
        <w:rPr>
          <w:rFonts w:cs="Arial"/>
          <w:i/>
        </w:rPr>
      </w:pPr>
      <w:r w:rsidRPr="00F93C21">
        <w:rPr>
          <w:rFonts w:cs="Arial"/>
          <w:b/>
          <w:i/>
          <w:highlight w:val="green"/>
        </w:rPr>
        <w:t>Task 2.6.2:</w:t>
      </w:r>
      <w:r>
        <w:rPr>
          <w:rFonts w:cs="Arial"/>
          <w:i/>
        </w:rPr>
        <w:t xml:space="preserve"> </w:t>
      </w:r>
    </w:p>
    <w:p w:rsidR="009E690F" w:rsidRPr="00F93C21" w:rsidRDefault="009E690F" w:rsidP="00031F36">
      <w:pPr>
        <w:rPr>
          <w:rFonts w:cs="Arial"/>
          <w:b/>
          <w:highlight w:val="green"/>
        </w:rPr>
      </w:pPr>
      <w:r w:rsidRPr="00F93C21">
        <w:rPr>
          <w:rFonts w:cs="Arial"/>
          <w:b/>
          <w:highlight w:val="green"/>
        </w:rPr>
        <w:t>LEAD BENEFICIARY NERSC</w:t>
      </w:r>
    </w:p>
    <w:p w:rsidR="001F7553" w:rsidRDefault="001F7553" w:rsidP="00031F36">
      <w:pPr>
        <w:rPr>
          <w:rFonts w:cs="Arial"/>
        </w:rPr>
      </w:pPr>
      <w:r w:rsidRPr="00F93C21">
        <w:rPr>
          <w:rFonts w:cs="Arial"/>
          <w:highlight w:val="green"/>
        </w:rPr>
        <w:t>The time series of sea ice thickness will be used in combination with model results and assimilation results to obtain improved estimates of sea ice volume fluxes. These fluxes represent a component of the freshwater cycle in the Arctic, where freshwater increase and decrease due to melting/freezing of sea ice and freshwater import/export to/from certain regions of the Arctic. (month 18)</w:t>
      </w:r>
    </w:p>
    <w:p w:rsidR="003B5472" w:rsidRDefault="003B5472" w:rsidP="00FA7790">
      <w:pPr>
        <w:pStyle w:val="PlainText"/>
        <w:rPr>
          <w:rFonts w:cs="Arial"/>
          <w:b/>
          <w:i/>
          <w:szCs w:val="22"/>
        </w:rPr>
      </w:pPr>
    </w:p>
    <w:p w:rsidR="00973F13" w:rsidRPr="00F93C21" w:rsidRDefault="00031F36" w:rsidP="00FA7790">
      <w:pPr>
        <w:pStyle w:val="PlainText"/>
        <w:rPr>
          <w:rFonts w:cs="Arial"/>
          <w:szCs w:val="22"/>
          <w:highlight w:val="green"/>
        </w:rPr>
      </w:pPr>
      <w:r w:rsidRPr="00F93C21">
        <w:rPr>
          <w:rFonts w:cs="Arial"/>
          <w:b/>
          <w:i/>
          <w:szCs w:val="22"/>
          <w:highlight w:val="green"/>
        </w:rPr>
        <w:t>Task 2.6.3:</w:t>
      </w:r>
      <w:r w:rsidRPr="00F93C21">
        <w:rPr>
          <w:rFonts w:cs="Arial"/>
          <w:szCs w:val="22"/>
          <w:highlight w:val="green"/>
        </w:rPr>
        <w:t xml:space="preserve"> </w:t>
      </w:r>
    </w:p>
    <w:p w:rsidR="00973F13" w:rsidRPr="00F93C21" w:rsidRDefault="00973F13" w:rsidP="00FA7790">
      <w:pPr>
        <w:pStyle w:val="PlainText"/>
        <w:rPr>
          <w:rFonts w:cs="Arial"/>
          <w:szCs w:val="22"/>
          <w:highlight w:val="green"/>
        </w:rPr>
      </w:pPr>
    </w:p>
    <w:p w:rsidR="00973F13" w:rsidRPr="00F93C21" w:rsidRDefault="00973F13" w:rsidP="00FA7790">
      <w:pPr>
        <w:pStyle w:val="PlainText"/>
        <w:rPr>
          <w:rFonts w:cs="Arial"/>
          <w:b/>
          <w:highlight w:val="green"/>
        </w:rPr>
      </w:pPr>
      <w:r w:rsidRPr="00F93C21">
        <w:rPr>
          <w:rFonts w:cs="Arial"/>
          <w:b/>
          <w:highlight w:val="green"/>
        </w:rPr>
        <w:t>LEAD BENEFICIARY NERSC</w:t>
      </w:r>
    </w:p>
    <w:p w:rsidR="00973F13" w:rsidRPr="00F93C21" w:rsidRDefault="00973F13" w:rsidP="00FA7790">
      <w:pPr>
        <w:pStyle w:val="PlainText"/>
        <w:rPr>
          <w:rFonts w:cs="Arial"/>
          <w:szCs w:val="22"/>
          <w:highlight w:val="green"/>
        </w:rPr>
      </w:pPr>
    </w:p>
    <w:p w:rsidR="00031F36" w:rsidRPr="00F93C21" w:rsidRDefault="00031F36" w:rsidP="00FA7790">
      <w:pPr>
        <w:pStyle w:val="PlainText"/>
        <w:rPr>
          <w:rFonts w:cs="Arial"/>
          <w:szCs w:val="22"/>
          <w:highlight w:val="green"/>
        </w:rPr>
      </w:pPr>
      <w:r w:rsidRPr="00F93C21">
        <w:rPr>
          <w:rFonts w:cs="Arial"/>
          <w:szCs w:val="22"/>
          <w:highlight w:val="green"/>
        </w:rPr>
        <w:t>The fresh water fluxes will be compared to the Arctic Ocean part of the Greenland ice sheet melt, the river discharges, and merged into a freshwater flow grid, using the input of WP 2.4 and compared to the sea level time series of WP 2.2. The direct measurements of the freshwater pulse by satellite gravity (GRACE) will be exploited as part of this comparison. (month 18 and 36)</w:t>
      </w:r>
      <w:r w:rsidR="00155A0B" w:rsidRPr="00F93C21">
        <w:rPr>
          <w:rFonts w:cs="Arial"/>
          <w:szCs w:val="22"/>
          <w:highlight w:val="green"/>
        </w:rPr>
        <w:t xml:space="preserve"> </w:t>
      </w:r>
    </w:p>
    <w:p w:rsidR="00925562" w:rsidRPr="00F93C21" w:rsidRDefault="00925562" w:rsidP="00FA7790">
      <w:pPr>
        <w:pStyle w:val="PlainText"/>
        <w:rPr>
          <w:rFonts w:cs="Arial"/>
          <w:szCs w:val="22"/>
          <w:highlight w:val="green"/>
        </w:rPr>
      </w:pPr>
    </w:p>
    <w:p w:rsidR="00925562" w:rsidRDefault="008C6C34" w:rsidP="00FA7790">
      <w:pPr>
        <w:pStyle w:val="PlainText"/>
      </w:pPr>
      <w:r w:rsidRPr="00F93C21">
        <w:rPr>
          <w:rFonts w:cs="Arial"/>
          <w:szCs w:val="22"/>
          <w:highlight w:val="green"/>
        </w:rPr>
        <w:t>Th</w:t>
      </w:r>
      <w:r w:rsidR="00871DFF" w:rsidRPr="00F93C21">
        <w:rPr>
          <w:rFonts w:cs="Arial"/>
          <w:szCs w:val="22"/>
          <w:highlight w:val="green"/>
        </w:rPr>
        <w:t xml:space="preserve">e comparison between the </w:t>
      </w:r>
      <w:r w:rsidR="000A2680" w:rsidRPr="00F93C21">
        <w:rPr>
          <w:rFonts w:cs="Arial"/>
          <w:szCs w:val="22"/>
          <w:highlight w:val="green"/>
        </w:rPr>
        <w:t>direct fresh water pulse</w:t>
      </w:r>
      <w:r w:rsidR="00871DFF" w:rsidRPr="00F93C21">
        <w:rPr>
          <w:rFonts w:cs="Arial"/>
          <w:szCs w:val="22"/>
          <w:highlight w:val="green"/>
        </w:rPr>
        <w:t xml:space="preserve"> </w:t>
      </w:r>
      <w:r w:rsidR="000A2680" w:rsidRPr="00F93C21">
        <w:rPr>
          <w:rFonts w:cs="Arial"/>
          <w:szCs w:val="22"/>
          <w:highlight w:val="green"/>
        </w:rPr>
        <w:t xml:space="preserve">obtained by </w:t>
      </w:r>
      <w:r w:rsidR="00EF4FBB" w:rsidRPr="00F93C21">
        <w:rPr>
          <w:rFonts w:cs="Arial"/>
          <w:szCs w:val="22"/>
          <w:highlight w:val="green"/>
        </w:rPr>
        <w:t>altimetry</w:t>
      </w:r>
      <w:r w:rsidR="00E82588" w:rsidRPr="00F93C21">
        <w:rPr>
          <w:rFonts w:cs="Arial"/>
          <w:szCs w:val="22"/>
          <w:highlight w:val="green"/>
        </w:rPr>
        <w:t xml:space="preserve"> </w:t>
      </w:r>
      <w:r w:rsidR="00FE1232" w:rsidRPr="00F93C21">
        <w:rPr>
          <w:rFonts w:cs="Arial"/>
          <w:szCs w:val="22"/>
          <w:highlight w:val="green"/>
        </w:rPr>
        <w:t xml:space="preserve">(WP 2.2) </w:t>
      </w:r>
      <w:r w:rsidR="000A2680" w:rsidRPr="00F93C21">
        <w:rPr>
          <w:rFonts w:cs="Arial"/>
          <w:szCs w:val="22"/>
          <w:highlight w:val="green"/>
        </w:rPr>
        <w:t>and GRACE</w:t>
      </w:r>
      <w:r w:rsidR="00FE1232" w:rsidRPr="00F93C21">
        <w:rPr>
          <w:rFonts w:cs="Arial"/>
          <w:szCs w:val="22"/>
          <w:highlight w:val="green"/>
        </w:rPr>
        <w:t xml:space="preserve"> (</w:t>
      </w:r>
      <w:r w:rsidR="001C653D" w:rsidRPr="00F93C21">
        <w:rPr>
          <w:rFonts w:cs="Arial"/>
          <w:szCs w:val="22"/>
          <w:highlight w:val="green"/>
        </w:rPr>
        <w:t>WP 2.1</w:t>
      </w:r>
      <w:r w:rsidR="00FE1232" w:rsidRPr="00F93C21">
        <w:rPr>
          <w:rFonts w:cs="Arial"/>
          <w:szCs w:val="22"/>
          <w:highlight w:val="green"/>
        </w:rPr>
        <w:t>)</w:t>
      </w:r>
      <w:r w:rsidR="000A2680" w:rsidRPr="00F93C21">
        <w:rPr>
          <w:rFonts w:cs="Arial"/>
          <w:szCs w:val="22"/>
          <w:highlight w:val="green"/>
        </w:rPr>
        <w:t xml:space="preserve">, and the fresh water fluxes obtained from </w:t>
      </w:r>
      <w:r w:rsidR="00B64F8A" w:rsidRPr="00F93C21">
        <w:rPr>
          <w:rFonts w:cs="Arial"/>
          <w:szCs w:val="22"/>
          <w:highlight w:val="green"/>
        </w:rPr>
        <w:t xml:space="preserve">a combination of input from the </w:t>
      </w:r>
      <w:r w:rsidR="002E5B6C" w:rsidRPr="00F93C21">
        <w:rPr>
          <w:rFonts w:cs="Arial"/>
          <w:szCs w:val="22"/>
          <w:highlight w:val="green"/>
        </w:rPr>
        <w:t>Greenland ice sheet</w:t>
      </w:r>
      <w:r w:rsidR="00CB6907" w:rsidRPr="00F93C21">
        <w:rPr>
          <w:rFonts w:cs="Arial"/>
          <w:szCs w:val="22"/>
          <w:highlight w:val="green"/>
        </w:rPr>
        <w:t xml:space="preserve"> (WP 2.3)</w:t>
      </w:r>
      <w:r w:rsidR="00B64F8A" w:rsidRPr="00F93C21">
        <w:rPr>
          <w:rFonts w:cs="Arial"/>
          <w:szCs w:val="22"/>
          <w:highlight w:val="green"/>
        </w:rPr>
        <w:t>,</w:t>
      </w:r>
      <w:r w:rsidR="002E5B6C" w:rsidRPr="00F93C21">
        <w:rPr>
          <w:rFonts w:cs="Arial"/>
          <w:szCs w:val="22"/>
          <w:highlight w:val="green"/>
        </w:rPr>
        <w:t xml:space="preserve"> </w:t>
      </w:r>
      <w:r w:rsidR="00B666E5" w:rsidRPr="00F93C21">
        <w:rPr>
          <w:rFonts w:cs="Arial"/>
          <w:szCs w:val="22"/>
          <w:highlight w:val="green"/>
        </w:rPr>
        <w:t xml:space="preserve">the river discharges </w:t>
      </w:r>
      <w:r w:rsidR="005E253E" w:rsidRPr="00F93C21">
        <w:rPr>
          <w:rFonts w:cs="Arial"/>
          <w:szCs w:val="22"/>
          <w:highlight w:val="green"/>
        </w:rPr>
        <w:t>(</w:t>
      </w:r>
      <w:r w:rsidR="009A0671" w:rsidRPr="00F93C21">
        <w:rPr>
          <w:rFonts w:cs="Arial"/>
          <w:szCs w:val="22"/>
          <w:highlight w:val="green"/>
        </w:rPr>
        <w:t xml:space="preserve">WP </w:t>
      </w:r>
      <w:r w:rsidR="001E474E" w:rsidRPr="00F93C21">
        <w:rPr>
          <w:rFonts w:cs="Arial"/>
          <w:szCs w:val="22"/>
          <w:highlight w:val="green"/>
        </w:rPr>
        <w:t>1.2</w:t>
      </w:r>
      <w:r w:rsidR="005E253E" w:rsidRPr="00F93C21">
        <w:rPr>
          <w:rFonts w:cs="Arial"/>
          <w:szCs w:val="22"/>
          <w:highlight w:val="green"/>
        </w:rPr>
        <w:t xml:space="preserve">) </w:t>
      </w:r>
      <w:r w:rsidR="000A2680" w:rsidRPr="00F93C21">
        <w:rPr>
          <w:rFonts w:cs="Arial"/>
          <w:szCs w:val="22"/>
          <w:highlight w:val="green"/>
        </w:rPr>
        <w:t xml:space="preserve">and sea ice </w:t>
      </w:r>
      <w:r w:rsidR="005E253E" w:rsidRPr="00F93C21">
        <w:rPr>
          <w:rFonts w:cs="Arial"/>
          <w:szCs w:val="22"/>
          <w:highlight w:val="green"/>
        </w:rPr>
        <w:t xml:space="preserve">(WP 2.6) </w:t>
      </w:r>
      <w:r w:rsidR="000A2680" w:rsidRPr="00F93C21">
        <w:rPr>
          <w:rFonts w:cs="Arial"/>
          <w:szCs w:val="22"/>
          <w:highlight w:val="green"/>
        </w:rPr>
        <w:t xml:space="preserve">will begin as </w:t>
      </w:r>
      <w:r w:rsidRPr="00F93C21">
        <w:rPr>
          <w:rFonts w:cs="Arial"/>
          <w:szCs w:val="22"/>
          <w:highlight w:val="green"/>
        </w:rPr>
        <w:t xml:space="preserve">soon as results from </w:t>
      </w:r>
      <w:r w:rsidR="002E5B6C" w:rsidRPr="00F93C21">
        <w:rPr>
          <w:rFonts w:cs="Arial"/>
          <w:szCs w:val="22"/>
          <w:highlight w:val="green"/>
        </w:rPr>
        <w:t xml:space="preserve">the respective work packages are available. </w:t>
      </w:r>
      <w:r w:rsidR="007F270A" w:rsidRPr="00F93C21">
        <w:rPr>
          <w:rFonts w:cs="Arial"/>
          <w:szCs w:val="22"/>
          <w:highlight w:val="green"/>
        </w:rPr>
        <w:t>For the status of each of the contributions, see the respective work packages.</w:t>
      </w:r>
      <w:r w:rsidR="007F270A">
        <w:rPr>
          <w:rFonts w:cs="Arial"/>
          <w:szCs w:val="22"/>
        </w:rPr>
        <w:t xml:space="preserve"> </w:t>
      </w:r>
    </w:p>
    <w:p w:rsidR="00FA7790" w:rsidRDefault="00FA7790" w:rsidP="00FA7790">
      <w:pPr>
        <w:pStyle w:val="PlainText"/>
        <w:rPr>
          <w:b/>
        </w:rPr>
      </w:pPr>
    </w:p>
    <w:p w:rsidR="00006991" w:rsidRDefault="00006991" w:rsidP="00FA7790">
      <w:pPr>
        <w:pStyle w:val="PlainText"/>
        <w:rPr>
          <w:b/>
        </w:rPr>
      </w:pPr>
      <w:r>
        <w:rPr>
          <w:b/>
        </w:rPr>
        <w:t>Impediments to</w:t>
      </w:r>
      <w:r w:rsidRPr="004E4A78">
        <w:rPr>
          <w:b/>
        </w:rPr>
        <w:t xml:space="preserve"> progress</w:t>
      </w:r>
    </w:p>
    <w:p w:rsidR="008C6C34" w:rsidRPr="008C6C34" w:rsidRDefault="008C6C34" w:rsidP="00FA7790">
      <w:pPr>
        <w:pStyle w:val="PlainText"/>
      </w:pPr>
      <w:r>
        <w:t>No comments</w:t>
      </w:r>
    </w:p>
    <w:p w:rsidR="008C6C34" w:rsidRDefault="008C6C34" w:rsidP="00FA7790">
      <w:pPr>
        <w:pStyle w:val="PlainText"/>
        <w:rPr>
          <w:b/>
        </w:rPr>
      </w:pPr>
    </w:p>
    <w:p w:rsidR="00006991" w:rsidRDefault="00006991" w:rsidP="00FA7790">
      <w:pPr>
        <w:pStyle w:val="PlainText"/>
        <w:rPr>
          <w:b/>
        </w:rPr>
      </w:pPr>
      <w:r>
        <w:rPr>
          <w:b/>
        </w:rPr>
        <w:t xml:space="preserve">Outlook </w:t>
      </w:r>
    </w:p>
    <w:p w:rsidR="00352492" w:rsidRDefault="00352492" w:rsidP="00A53289">
      <w:pPr>
        <w:rPr>
          <w:highlight w:val="green"/>
        </w:rPr>
      </w:pPr>
      <w:r>
        <w:rPr>
          <w:highlight w:val="green"/>
        </w:rPr>
        <w:t xml:space="preserve">RENE ?!? </w:t>
      </w:r>
    </w:p>
    <w:p w:rsidR="00A53289" w:rsidRDefault="00D10820" w:rsidP="00A53289">
      <w:r w:rsidRPr="00352492">
        <w:rPr>
          <w:highlight w:val="green"/>
        </w:rPr>
        <w:t>Please outline the future for your activity and in particular deviations to plans to future deadlines</w:t>
      </w:r>
      <w:r>
        <w:t xml:space="preserve"> </w:t>
      </w:r>
    </w:p>
    <w:p w:rsidR="00006991" w:rsidRDefault="00006991" w:rsidP="00FA7790">
      <w:pPr>
        <w:pStyle w:val="PlainText"/>
        <w:rPr>
          <w:b/>
        </w:rPr>
      </w:pPr>
      <w:r>
        <w:rPr>
          <w:b/>
        </w:rPr>
        <w:t xml:space="preserve">Resources </w:t>
      </w:r>
    </w:p>
    <w:p w:rsidR="00352492" w:rsidRDefault="00352492" w:rsidP="00FA7790">
      <w:pPr>
        <w:rPr>
          <w:highlight w:val="green"/>
        </w:rPr>
      </w:pPr>
      <w:r>
        <w:rPr>
          <w:highlight w:val="green"/>
        </w:rPr>
        <w:t>RENE ?!?</w:t>
      </w:r>
      <w:bookmarkStart w:id="0" w:name="_GoBack"/>
      <w:bookmarkEnd w:id="0"/>
      <w:r>
        <w:rPr>
          <w:highlight w:val="green"/>
        </w:rPr>
        <w:t xml:space="preserve"> </w:t>
      </w:r>
    </w:p>
    <w:p w:rsidR="00006991" w:rsidRDefault="00006991" w:rsidP="00FA7790">
      <w:pPr>
        <w:rPr>
          <w:b/>
        </w:rPr>
      </w:pPr>
      <w:r w:rsidRPr="00352492">
        <w:rPr>
          <w:highlight w:val="green"/>
        </w:rPr>
        <w:t>In particular outline and explain deviations between actual and planned person-months per work package and per beneficiary described in “Annex 1 - Description of Work”</w:t>
      </w:r>
    </w:p>
    <w:p w:rsidR="00863E2F" w:rsidRDefault="00863E2F" w:rsidP="00FA7790">
      <w:pPr>
        <w:pStyle w:val="PlainText"/>
        <w:rPr>
          <w:b/>
        </w:rPr>
      </w:pPr>
    </w:p>
    <w:p w:rsidR="00006991" w:rsidRDefault="00006991" w:rsidP="00FA7790">
      <w:pPr>
        <w:pStyle w:val="PlainText"/>
        <w:rPr>
          <w:b/>
        </w:rPr>
      </w:pPr>
      <w:r>
        <w:rPr>
          <w:b/>
        </w:rPr>
        <w:t xml:space="preserve">List of related publications </w:t>
      </w:r>
    </w:p>
    <w:p w:rsidR="008E7443" w:rsidRDefault="008E7443" w:rsidP="00126914">
      <w:pPr>
        <w:rPr>
          <w:rFonts w:cstheme="minorHAnsi"/>
        </w:rPr>
      </w:pPr>
      <w:r w:rsidRPr="00085A38">
        <w:rPr>
          <w:rFonts w:cstheme="minorHAnsi"/>
          <w:lang w:val="da-DK"/>
        </w:rPr>
        <w:t xml:space="preserve">Andersen, O. B. and Knudsen, P. (2008). </w:t>
      </w:r>
      <w:r w:rsidRPr="00F63865">
        <w:rPr>
          <w:rFonts w:cstheme="minorHAnsi"/>
        </w:rPr>
        <w:t>The DTU10 global</w:t>
      </w:r>
      <w:r w:rsidR="009E1C82">
        <w:rPr>
          <w:rFonts w:cstheme="minorHAnsi"/>
        </w:rPr>
        <w:t xml:space="preserve"> </w:t>
      </w:r>
      <w:r w:rsidRPr="00F63865">
        <w:rPr>
          <w:rFonts w:cstheme="minorHAnsi"/>
        </w:rPr>
        <w:t>Mean sea surface and Bathymetry. In Geophysical Reasearch Abstract, volume</w:t>
      </w:r>
      <w:r>
        <w:rPr>
          <w:rFonts w:cstheme="minorHAnsi"/>
        </w:rPr>
        <w:t xml:space="preserve"> 10. European Geophysical Union</w:t>
      </w:r>
      <w:r w:rsidRPr="008E7443">
        <w:rPr>
          <w:rFonts w:cstheme="minorHAnsi"/>
        </w:rPr>
        <w:t xml:space="preserve"> </w:t>
      </w:r>
    </w:p>
    <w:p w:rsidR="001A2CE0" w:rsidRDefault="001A2CE0" w:rsidP="00126914">
      <w:pPr>
        <w:rPr>
          <w:rFonts w:cstheme="minorHAnsi"/>
        </w:rPr>
      </w:pPr>
      <w:r w:rsidRPr="00F43742">
        <w:rPr>
          <w:rFonts w:cstheme="minorHAnsi"/>
        </w:rPr>
        <w:t>Doble, M.</w:t>
      </w:r>
      <w:r w:rsidR="00F43742" w:rsidRPr="00F43742">
        <w:rPr>
          <w:rFonts w:cstheme="minorHAnsi"/>
        </w:rPr>
        <w:t xml:space="preserve"> J.</w:t>
      </w:r>
      <w:r w:rsidRPr="00F43742">
        <w:rPr>
          <w:rFonts w:cstheme="minorHAnsi"/>
        </w:rPr>
        <w:t>, Skourup, H.,</w:t>
      </w:r>
      <w:r w:rsidR="00F43742" w:rsidRPr="00F43742">
        <w:rPr>
          <w:rFonts w:cstheme="minorHAnsi"/>
        </w:rPr>
        <w:t xml:space="preserve"> Wadhams, P., and Geiger, C.</w:t>
      </w:r>
      <w:r w:rsidR="00F43742">
        <w:rPr>
          <w:rFonts w:cstheme="minorHAnsi"/>
        </w:rPr>
        <w:t xml:space="preserve"> </w:t>
      </w:r>
      <w:r w:rsidR="00D045DE">
        <w:rPr>
          <w:rFonts w:cstheme="minorHAnsi"/>
        </w:rPr>
        <w:t xml:space="preserve">(2011). </w:t>
      </w:r>
      <w:r w:rsidR="00F43742">
        <w:rPr>
          <w:rFonts w:cstheme="minorHAnsi"/>
        </w:rPr>
        <w:t xml:space="preserve">The relation between sea ice surface elevation and draft: Results from high-resolution mapping by co-incident AUV sonar and airborne scanning laser. </w:t>
      </w:r>
      <w:r w:rsidR="006843BC">
        <w:rPr>
          <w:rFonts w:cstheme="minorHAnsi"/>
        </w:rPr>
        <w:t>JGR SEDNA special issue</w:t>
      </w:r>
      <w:r w:rsidR="00EC14DE">
        <w:rPr>
          <w:rFonts w:cstheme="minorHAnsi"/>
        </w:rPr>
        <w:t>, submitted</w:t>
      </w:r>
    </w:p>
    <w:p w:rsidR="00D52270" w:rsidRDefault="00126914" w:rsidP="00126914">
      <w:pPr>
        <w:rPr>
          <w:rFonts w:cstheme="minorHAnsi"/>
        </w:rPr>
      </w:pPr>
      <w:r w:rsidRPr="00085A38">
        <w:rPr>
          <w:rFonts w:cstheme="minorHAnsi"/>
          <w:lang w:val="da-DK"/>
        </w:rPr>
        <w:t xml:space="preserve">Poulsen, S. K., Stenseng, L., Skourup, H., Pedersen, L. T., and Forsberg, R. (2011).  </w:t>
      </w:r>
      <w:r w:rsidRPr="00F63865">
        <w:rPr>
          <w:rFonts w:cstheme="minorHAnsi"/>
        </w:rPr>
        <w:t xml:space="preserve">Initial results of CryoSat-2 data from the Arctic. In </w:t>
      </w:r>
      <w:r w:rsidR="00C34CC1">
        <w:rPr>
          <w:rFonts w:cstheme="minorHAnsi"/>
        </w:rPr>
        <w:t xml:space="preserve">proceedings, </w:t>
      </w:r>
      <w:r w:rsidRPr="00F63865">
        <w:rPr>
          <w:rFonts w:cstheme="minorHAnsi"/>
        </w:rPr>
        <w:t xml:space="preserve">ESA CryoSat Validation Workshop, </w:t>
      </w:r>
      <w:r w:rsidR="00A149BE">
        <w:rPr>
          <w:rFonts w:cstheme="minorHAnsi"/>
        </w:rPr>
        <w:t>Fra</w:t>
      </w:r>
      <w:r w:rsidR="00666B31">
        <w:rPr>
          <w:rFonts w:cstheme="minorHAnsi"/>
        </w:rPr>
        <w:t>scati, Italy</w:t>
      </w:r>
    </w:p>
    <w:p w:rsidR="008E7443" w:rsidRDefault="008E7443" w:rsidP="00126914">
      <w:pPr>
        <w:rPr>
          <w:rFonts w:cstheme="minorHAnsi"/>
        </w:rPr>
      </w:pPr>
      <w:r>
        <w:rPr>
          <w:rFonts w:cstheme="minorHAnsi"/>
          <w:bCs/>
        </w:rPr>
        <w:t>Skourup, H. (2010). A study of Arctic sea ice freeboard heights, gravity anomalies and dynamic topography from ICESat measurements. PhD Thesis, University of Copenhagen</w:t>
      </w:r>
      <w:r w:rsidRPr="00F63865">
        <w:rPr>
          <w:rFonts w:cstheme="minorHAnsi"/>
        </w:rPr>
        <w:t xml:space="preserve"> </w:t>
      </w:r>
    </w:p>
    <w:p w:rsidR="006F13F3" w:rsidRDefault="006F13F3" w:rsidP="00126914">
      <w:pPr>
        <w:rPr>
          <w:rFonts w:cstheme="minorHAnsi"/>
        </w:rPr>
      </w:pPr>
      <w:r w:rsidRPr="00085A38">
        <w:rPr>
          <w:rFonts w:cstheme="minorHAnsi"/>
        </w:rPr>
        <w:t>Skourup, H.,</w:t>
      </w:r>
      <w:r w:rsidR="006540F3" w:rsidRPr="00085A38">
        <w:rPr>
          <w:rFonts w:cstheme="minorHAnsi"/>
        </w:rPr>
        <w:t xml:space="preserve"> </w:t>
      </w:r>
      <w:r w:rsidR="00AF4EA5" w:rsidRPr="00085A38">
        <w:rPr>
          <w:rFonts w:cstheme="minorHAnsi"/>
        </w:rPr>
        <w:t xml:space="preserve">Hanson, S., Hvidegaard, S. M., Forsberg, R., Poulsen, S. K., Morris, E. M., Sørensen, L. S., and Stenseng, L. </w:t>
      </w:r>
      <w:r w:rsidRPr="00085A38">
        <w:rPr>
          <w:rFonts w:cstheme="minorHAnsi"/>
        </w:rPr>
        <w:t>(2011)</w:t>
      </w:r>
      <w:r w:rsidR="00AF4EA5" w:rsidRPr="00085A38">
        <w:rPr>
          <w:rFonts w:cstheme="minorHAnsi"/>
        </w:rPr>
        <w:t xml:space="preserve">. </w:t>
      </w:r>
      <w:r w:rsidR="00AF4EA5" w:rsidRPr="00AF4EA5">
        <w:rPr>
          <w:rFonts w:cstheme="minorHAnsi"/>
        </w:rPr>
        <w:t>Airborne campaigns for CryoSat prelaunch calibration and validation.</w:t>
      </w:r>
      <w:r w:rsidRPr="00AF4EA5">
        <w:rPr>
          <w:rFonts w:cstheme="minorHAnsi"/>
        </w:rPr>
        <w:t xml:space="preserve"> </w:t>
      </w:r>
      <w:r w:rsidR="005416D7">
        <w:rPr>
          <w:rFonts w:cstheme="minorHAnsi"/>
        </w:rPr>
        <w:t xml:space="preserve">In proceedings, ESA </w:t>
      </w:r>
      <w:r>
        <w:rPr>
          <w:rFonts w:cstheme="minorHAnsi"/>
        </w:rPr>
        <w:t>CryoSat validation workshop, Frascati</w:t>
      </w:r>
      <w:r w:rsidR="00666B31">
        <w:rPr>
          <w:rFonts w:cstheme="minorHAnsi"/>
        </w:rPr>
        <w:t>, Italy</w:t>
      </w:r>
    </w:p>
    <w:p w:rsidR="00F5720A" w:rsidRDefault="00126914">
      <w:pPr>
        <w:rPr>
          <w:rFonts w:cstheme="minorHAnsi"/>
        </w:rPr>
      </w:pPr>
      <w:r w:rsidRPr="00F63865">
        <w:rPr>
          <w:rFonts w:cstheme="minorHAnsi"/>
        </w:rPr>
        <w:t>Stenseng, L. (2011). Polar Remote Sensing by CryoSat-type Radar Altimetry. PhD</w:t>
      </w:r>
      <w:r w:rsidR="00E95588">
        <w:rPr>
          <w:rFonts w:cstheme="minorHAnsi"/>
        </w:rPr>
        <w:t xml:space="preserve"> thesis, National</w:t>
      </w:r>
      <w:r w:rsidRPr="00F63865">
        <w:rPr>
          <w:rFonts w:cstheme="minorHAnsi"/>
        </w:rPr>
        <w:t xml:space="preserve"> Space Institute, </w:t>
      </w:r>
      <w:r w:rsidR="00D52270">
        <w:rPr>
          <w:rFonts w:cstheme="minorHAnsi"/>
        </w:rPr>
        <w:t>Technical University of Denmark</w:t>
      </w:r>
    </w:p>
    <w:p w:rsidR="00D52270" w:rsidRPr="00D52270" w:rsidRDefault="00D52270" w:rsidP="00126914">
      <w:pPr>
        <w:rPr>
          <w:rFonts w:cstheme="minorHAnsi"/>
        </w:rPr>
      </w:pPr>
    </w:p>
    <w:p w:rsidR="00126914" w:rsidRPr="00F63865" w:rsidRDefault="00126914" w:rsidP="00126914">
      <w:pPr>
        <w:rPr>
          <w:rFonts w:cstheme="minorHAnsi"/>
        </w:rPr>
      </w:pPr>
      <w:r w:rsidRPr="00F63865">
        <w:rPr>
          <w:rFonts w:cstheme="minorHAnsi"/>
        </w:rPr>
        <w:cr/>
      </w:r>
    </w:p>
    <w:sectPr w:rsidR="00126914" w:rsidRPr="00F638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BFF" w:rsidRDefault="00291BFF" w:rsidP="00E819C1">
      <w:pPr>
        <w:spacing w:after="0" w:line="240" w:lineRule="auto"/>
      </w:pPr>
      <w:r>
        <w:separator/>
      </w:r>
    </w:p>
  </w:endnote>
  <w:endnote w:type="continuationSeparator" w:id="0">
    <w:p w:rsidR="00291BFF" w:rsidRDefault="00291BFF" w:rsidP="00E8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High Tower Text">
    <w:panose1 w:val="0204050205050603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BFF" w:rsidRDefault="00291BFF" w:rsidP="00E819C1">
      <w:pPr>
        <w:spacing w:after="0" w:line="240" w:lineRule="auto"/>
      </w:pPr>
      <w:r>
        <w:separator/>
      </w:r>
    </w:p>
  </w:footnote>
  <w:footnote w:type="continuationSeparator" w:id="0">
    <w:p w:rsidR="00291BFF" w:rsidRDefault="00291BFF" w:rsidP="00E819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991"/>
    <w:rsid w:val="00006991"/>
    <w:rsid w:val="00010409"/>
    <w:rsid w:val="0001305A"/>
    <w:rsid w:val="0001763C"/>
    <w:rsid w:val="000279C0"/>
    <w:rsid w:val="000311BD"/>
    <w:rsid w:val="00031F36"/>
    <w:rsid w:val="00034CA9"/>
    <w:rsid w:val="000376A0"/>
    <w:rsid w:val="00041757"/>
    <w:rsid w:val="00056A43"/>
    <w:rsid w:val="00061567"/>
    <w:rsid w:val="00085A38"/>
    <w:rsid w:val="00094656"/>
    <w:rsid w:val="000A2680"/>
    <w:rsid w:val="000A7639"/>
    <w:rsid w:val="000B0A63"/>
    <w:rsid w:val="000D75F2"/>
    <w:rsid w:val="000F1B45"/>
    <w:rsid w:val="001004D0"/>
    <w:rsid w:val="001263F3"/>
    <w:rsid w:val="00126914"/>
    <w:rsid w:val="00127653"/>
    <w:rsid w:val="00135CFA"/>
    <w:rsid w:val="00135F12"/>
    <w:rsid w:val="00155A0B"/>
    <w:rsid w:val="001619AA"/>
    <w:rsid w:val="00165077"/>
    <w:rsid w:val="0017007B"/>
    <w:rsid w:val="00172FC6"/>
    <w:rsid w:val="001812E3"/>
    <w:rsid w:val="001A2CE0"/>
    <w:rsid w:val="001A6A0B"/>
    <w:rsid w:val="001A6BDE"/>
    <w:rsid w:val="001C653D"/>
    <w:rsid w:val="001E0F08"/>
    <w:rsid w:val="001E474E"/>
    <w:rsid w:val="001E664B"/>
    <w:rsid w:val="001F742E"/>
    <w:rsid w:val="001F7553"/>
    <w:rsid w:val="00220069"/>
    <w:rsid w:val="00220947"/>
    <w:rsid w:val="002225E8"/>
    <w:rsid w:val="00226612"/>
    <w:rsid w:val="002313BC"/>
    <w:rsid w:val="00232E6E"/>
    <w:rsid w:val="00252C37"/>
    <w:rsid w:val="002540FE"/>
    <w:rsid w:val="0025794E"/>
    <w:rsid w:val="0026118A"/>
    <w:rsid w:val="00264C5D"/>
    <w:rsid w:val="00271ED7"/>
    <w:rsid w:val="00274167"/>
    <w:rsid w:val="002806F4"/>
    <w:rsid w:val="00280B7C"/>
    <w:rsid w:val="002919E1"/>
    <w:rsid w:val="00291BFF"/>
    <w:rsid w:val="00291D32"/>
    <w:rsid w:val="0029217A"/>
    <w:rsid w:val="002A0247"/>
    <w:rsid w:val="002A0E15"/>
    <w:rsid w:val="002B30AD"/>
    <w:rsid w:val="002B63A1"/>
    <w:rsid w:val="002C38BE"/>
    <w:rsid w:val="002D0914"/>
    <w:rsid w:val="002D6B16"/>
    <w:rsid w:val="002E5B6C"/>
    <w:rsid w:val="002F6A5A"/>
    <w:rsid w:val="00314599"/>
    <w:rsid w:val="00314BC7"/>
    <w:rsid w:val="00325E9F"/>
    <w:rsid w:val="00326195"/>
    <w:rsid w:val="00327ECF"/>
    <w:rsid w:val="00340EA0"/>
    <w:rsid w:val="00346255"/>
    <w:rsid w:val="00347979"/>
    <w:rsid w:val="00352492"/>
    <w:rsid w:val="00353FD5"/>
    <w:rsid w:val="00356378"/>
    <w:rsid w:val="0036039A"/>
    <w:rsid w:val="0036218D"/>
    <w:rsid w:val="00383219"/>
    <w:rsid w:val="003A081D"/>
    <w:rsid w:val="003A58B8"/>
    <w:rsid w:val="003A5E77"/>
    <w:rsid w:val="003B5472"/>
    <w:rsid w:val="003C4E58"/>
    <w:rsid w:val="003C6FE3"/>
    <w:rsid w:val="003E0755"/>
    <w:rsid w:val="003F479B"/>
    <w:rsid w:val="00404D9F"/>
    <w:rsid w:val="00415964"/>
    <w:rsid w:val="004428A4"/>
    <w:rsid w:val="00445439"/>
    <w:rsid w:val="00452845"/>
    <w:rsid w:val="004542AD"/>
    <w:rsid w:val="00460E6D"/>
    <w:rsid w:val="004618F4"/>
    <w:rsid w:val="004B507B"/>
    <w:rsid w:val="004D202D"/>
    <w:rsid w:val="004D62DE"/>
    <w:rsid w:val="004E6861"/>
    <w:rsid w:val="004F331E"/>
    <w:rsid w:val="004F6277"/>
    <w:rsid w:val="0050110C"/>
    <w:rsid w:val="0051258C"/>
    <w:rsid w:val="00526A98"/>
    <w:rsid w:val="005309BE"/>
    <w:rsid w:val="00536479"/>
    <w:rsid w:val="005401BD"/>
    <w:rsid w:val="005416D7"/>
    <w:rsid w:val="0055723A"/>
    <w:rsid w:val="00560FFD"/>
    <w:rsid w:val="0058667E"/>
    <w:rsid w:val="005942CE"/>
    <w:rsid w:val="005945E1"/>
    <w:rsid w:val="005964F3"/>
    <w:rsid w:val="005C3281"/>
    <w:rsid w:val="005C384C"/>
    <w:rsid w:val="005C3DB3"/>
    <w:rsid w:val="005D5E65"/>
    <w:rsid w:val="005E253E"/>
    <w:rsid w:val="005E2AAD"/>
    <w:rsid w:val="005E36D1"/>
    <w:rsid w:val="005F153E"/>
    <w:rsid w:val="005F37AF"/>
    <w:rsid w:val="005F7019"/>
    <w:rsid w:val="0060172D"/>
    <w:rsid w:val="006440EB"/>
    <w:rsid w:val="006540F3"/>
    <w:rsid w:val="00666B31"/>
    <w:rsid w:val="00666CFA"/>
    <w:rsid w:val="00667B4C"/>
    <w:rsid w:val="006843BC"/>
    <w:rsid w:val="006942E8"/>
    <w:rsid w:val="006A1677"/>
    <w:rsid w:val="006B140E"/>
    <w:rsid w:val="006C1880"/>
    <w:rsid w:val="006D0DF0"/>
    <w:rsid w:val="006D6B3E"/>
    <w:rsid w:val="006E57AC"/>
    <w:rsid w:val="006E70BE"/>
    <w:rsid w:val="006F13F3"/>
    <w:rsid w:val="006F7304"/>
    <w:rsid w:val="007233BC"/>
    <w:rsid w:val="007269A8"/>
    <w:rsid w:val="007320B9"/>
    <w:rsid w:val="00743444"/>
    <w:rsid w:val="00744206"/>
    <w:rsid w:val="00746607"/>
    <w:rsid w:val="00776831"/>
    <w:rsid w:val="00781639"/>
    <w:rsid w:val="00785071"/>
    <w:rsid w:val="00792F40"/>
    <w:rsid w:val="00795633"/>
    <w:rsid w:val="007B42B9"/>
    <w:rsid w:val="007C24CB"/>
    <w:rsid w:val="007C272D"/>
    <w:rsid w:val="007E4200"/>
    <w:rsid w:val="007F06D6"/>
    <w:rsid w:val="007F19B1"/>
    <w:rsid w:val="007F270A"/>
    <w:rsid w:val="007F3611"/>
    <w:rsid w:val="008053AB"/>
    <w:rsid w:val="00814E7B"/>
    <w:rsid w:val="0082548A"/>
    <w:rsid w:val="00830F00"/>
    <w:rsid w:val="00836D8B"/>
    <w:rsid w:val="0084098A"/>
    <w:rsid w:val="008542D5"/>
    <w:rsid w:val="00863E2F"/>
    <w:rsid w:val="00870330"/>
    <w:rsid w:val="00871DFF"/>
    <w:rsid w:val="0088180A"/>
    <w:rsid w:val="0088530A"/>
    <w:rsid w:val="008859A8"/>
    <w:rsid w:val="00894BB0"/>
    <w:rsid w:val="008A213B"/>
    <w:rsid w:val="008B45A2"/>
    <w:rsid w:val="008C1243"/>
    <w:rsid w:val="008C5BFC"/>
    <w:rsid w:val="008C6835"/>
    <w:rsid w:val="008C6C34"/>
    <w:rsid w:val="008E5717"/>
    <w:rsid w:val="008E7443"/>
    <w:rsid w:val="00903BDF"/>
    <w:rsid w:val="009211C8"/>
    <w:rsid w:val="00925562"/>
    <w:rsid w:val="00926828"/>
    <w:rsid w:val="00956D26"/>
    <w:rsid w:val="009659DA"/>
    <w:rsid w:val="00973F13"/>
    <w:rsid w:val="009868C7"/>
    <w:rsid w:val="00991279"/>
    <w:rsid w:val="0099245E"/>
    <w:rsid w:val="00993EA3"/>
    <w:rsid w:val="009962AB"/>
    <w:rsid w:val="009A0671"/>
    <w:rsid w:val="009A26C1"/>
    <w:rsid w:val="009D2B5F"/>
    <w:rsid w:val="009E1448"/>
    <w:rsid w:val="009E1C82"/>
    <w:rsid w:val="009E3B7D"/>
    <w:rsid w:val="009E690F"/>
    <w:rsid w:val="009E7640"/>
    <w:rsid w:val="009F277F"/>
    <w:rsid w:val="009F31AB"/>
    <w:rsid w:val="00A149BE"/>
    <w:rsid w:val="00A166F3"/>
    <w:rsid w:val="00A24660"/>
    <w:rsid w:val="00A3400D"/>
    <w:rsid w:val="00A37D25"/>
    <w:rsid w:val="00A53289"/>
    <w:rsid w:val="00A57449"/>
    <w:rsid w:val="00AB377B"/>
    <w:rsid w:val="00AC5EAD"/>
    <w:rsid w:val="00AD4438"/>
    <w:rsid w:val="00AE01C3"/>
    <w:rsid w:val="00AE3D22"/>
    <w:rsid w:val="00AF4EA5"/>
    <w:rsid w:val="00B02F95"/>
    <w:rsid w:val="00B03D2C"/>
    <w:rsid w:val="00B16E51"/>
    <w:rsid w:val="00B40E52"/>
    <w:rsid w:val="00B42F00"/>
    <w:rsid w:val="00B452BA"/>
    <w:rsid w:val="00B64F8A"/>
    <w:rsid w:val="00B666E5"/>
    <w:rsid w:val="00B6732C"/>
    <w:rsid w:val="00B82AA0"/>
    <w:rsid w:val="00BA0628"/>
    <w:rsid w:val="00BA47BD"/>
    <w:rsid w:val="00BC3816"/>
    <w:rsid w:val="00BC76E8"/>
    <w:rsid w:val="00BD6F21"/>
    <w:rsid w:val="00BE448D"/>
    <w:rsid w:val="00C12DCA"/>
    <w:rsid w:val="00C27CCB"/>
    <w:rsid w:val="00C31222"/>
    <w:rsid w:val="00C3132E"/>
    <w:rsid w:val="00C34CC1"/>
    <w:rsid w:val="00C47A80"/>
    <w:rsid w:val="00C50C94"/>
    <w:rsid w:val="00C65360"/>
    <w:rsid w:val="00C836C3"/>
    <w:rsid w:val="00C93CB4"/>
    <w:rsid w:val="00CB361F"/>
    <w:rsid w:val="00CB6907"/>
    <w:rsid w:val="00CD5F55"/>
    <w:rsid w:val="00CE3F08"/>
    <w:rsid w:val="00CF52F9"/>
    <w:rsid w:val="00D045DE"/>
    <w:rsid w:val="00D10820"/>
    <w:rsid w:val="00D24776"/>
    <w:rsid w:val="00D52270"/>
    <w:rsid w:val="00D716A3"/>
    <w:rsid w:val="00D746ED"/>
    <w:rsid w:val="00D75E1B"/>
    <w:rsid w:val="00D82DA6"/>
    <w:rsid w:val="00D9711C"/>
    <w:rsid w:val="00DA28D8"/>
    <w:rsid w:val="00DE6A29"/>
    <w:rsid w:val="00E0163F"/>
    <w:rsid w:val="00E04744"/>
    <w:rsid w:val="00E11890"/>
    <w:rsid w:val="00E17AD8"/>
    <w:rsid w:val="00E44717"/>
    <w:rsid w:val="00E5198F"/>
    <w:rsid w:val="00E53305"/>
    <w:rsid w:val="00E67EA0"/>
    <w:rsid w:val="00E717FB"/>
    <w:rsid w:val="00E819C1"/>
    <w:rsid w:val="00E82588"/>
    <w:rsid w:val="00E82BE4"/>
    <w:rsid w:val="00E85B06"/>
    <w:rsid w:val="00E85D8A"/>
    <w:rsid w:val="00E9269E"/>
    <w:rsid w:val="00E94B06"/>
    <w:rsid w:val="00E95588"/>
    <w:rsid w:val="00EA4E40"/>
    <w:rsid w:val="00EA7613"/>
    <w:rsid w:val="00EB182A"/>
    <w:rsid w:val="00EC14DE"/>
    <w:rsid w:val="00EC2018"/>
    <w:rsid w:val="00EC75DC"/>
    <w:rsid w:val="00EE10C6"/>
    <w:rsid w:val="00EF4FBB"/>
    <w:rsid w:val="00EF571C"/>
    <w:rsid w:val="00F009E5"/>
    <w:rsid w:val="00F07773"/>
    <w:rsid w:val="00F162CE"/>
    <w:rsid w:val="00F17BF8"/>
    <w:rsid w:val="00F27027"/>
    <w:rsid w:val="00F35A59"/>
    <w:rsid w:val="00F407F7"/>
    <w:rsid w:val="00F43742"/>
    <w:rsid w:val="00F44A13"/>
    <w:rsid w:val="00F5720A"/>
    <w:rsid w:val="00F60742"/>
    <w:rsid w:val="00F63865"/>
    <w:rsid w:val="00F8074C"/>
    <w:rsid w:val="00F866E7"/>
    <w:rsid w:val="00F93C21"/>
    <w:rsid w:val="00F94DC4"/>
    <w:rsid w:val="00F97677"/>
    <w:rsid w:val="00FA1E7C"/>
    <w:rsid w:val="00FA4D6B"/>
    <w:rsid w:val="00FA7790"/>
    <w:rsid w:val="00FC5CD3"/>
    <w:rsid w:val="00FC7851"/>
    <w:rsid w:val="00FD32AB"/>
    <w:rsid w:val="00FD4C44"/>
    <w:rsid w:val="00FD5124"/>
    <w:rsid w:val="00FE1232"/>
    <w:rsid w:val="00FE3358"/>
    <w:rsid w:val="00FF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0699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06991"/>
    <w:rPr>
      <w:rFonts w:ascii="Calibri" w:hAnsi="Calibri"/>
      <w:szCs w:val="21"/>
    </w:rPr>
  </w:style>
  <w:style w:type="paragraph" w:styleId="BalloonText">
    <w:name w:val="Balloon Text"/>
    <w:basedOn w:val="Normal"/>
    <w:link w:val="BalloonTextChar"/>
    <w:uiPriority w:val="99"/>
    <w:semiHidden/>
    <w:unhideWhenUsed/>
    <w:rsid w:val="00996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2AB"/>
    <w:rPr>
      <w:rFonts w:ascii="Tahoma" w:hAnsi="Tahoma" w:cs="Tahoma"/>
      <w:sz w:val="16"/>
      <w:szCs w:val="16"/>
    </w:rPr>
  </w:style>
  <w:style w:type="paragraph" w:styleId="Header">
    <w:name w:val="header"/>
    <w:basedOn w:val="Normal"/>
    <w:link w:val="HeaderChar"/>
    <w:uiPriority w:val="99"/>
    <w:unhideWhenUsed/>
    <w:rsid w:val="00E81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C1"/>
  </w:style>
  <w:style w:type="paragraph" w:styleId="Footer">
    <w:name w:val="footer"/>
    <w:basedOn w:val="Normal"/>
    <w:link w:val="FooterChar"/>
    <w:uiPriority w:val="99"/>
    <w:unhideWhenUsed/>
    <w:rsid w:val="00E81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C1"/>
  </w:style>
  <w:style w:type="character" w:styleId="PlaceholderText">
    <w:name w:val="Placeholder Text"/>
    <w:basedOn w:val="DefaultParagraphFont"/>
    <w:uiPriority w:val="99"/>
    <w:semiHidden/>
    <w:rsid w:val="006F730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0699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06991"/>
    <w:rPr>
      <w:rFonts w:ascii="Calibri" w:hAnsi="Calibri"/>
      <w:szCs w:val="21"/>
    </w:rPr>
  </w:style>
  <w:style w:type="paragraph" w:styleId="BalloonText">
    <w:name w:val="Balloon Text"/>
    <w:basedOn w:val="Normal"/>
    <w:link w:val="BalloonTextChar"/>
    <w:uiPriority w:val="99"/>
    <w:semiHidden/>
    <w:unhideWhenUsed/>
    <w:rsid w:val="00996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2AB"/>
    <w:rPr>
      <w:rFonts w:ascii="Tahoma" w:hAnsi="Tahoma" w:cs="Tahoma"/>
      <w:sz w:val="16"/>
      <w:szCs w:val="16"/>
    </w:rPr>
  </w:style>
  <w:style w:type="paragraph" w:styleId="Header">
    <w:name w:val="header"/>
    <w:basedOn w:val="Normal"/>
    <w:link w:val="HeaderChar"/>
    <w:uiPriority w:val="99"/>
    <w:unhideWhenUsed/>
    <w:rsid w:val="00E81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C1"/>
  </w:style>
  <w:style w:type="paragraph" w:styleId="Footer">
    <w:name w:val="footer"/>
    <w:basedOn w:val="Normal"/>
    <w:link w:val="FooterChar"/>
    <w:uiPriority w:val="99"/>
    <w:unhideWhenUsed/>
    <w:rsid w:val="00E81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C1"/>
  </w:style>
  <w:style w:type="character" w:styleId="PlaceholderText">
    <w:name w:val="Placeholder Text"/>
    <w:basedOn w:val="DefaultParagraphFont"/>
    <w:uiPriority w:val="99"/>
    <w:semiHidden/>
    <w:rsid w:val="006F73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71607">
      <w:bodyDiv w:val="1"/>
      <w:marLeft w:val="0"/>
      <w:marRight w:val="0"/>
      <w:marTop w:val="0"/>
      <w:marBottom w:val="0"/>
      <w:divBdr>
        <w:top w:val="none" w:sz="0" w:space="0" w:color="auto"/>
        <w:left w:val="none" w:sz="0" w:space="0" w:color="auto"/>
        <w:bottom w:val="none" w:sz="0" w:space="0" w:color="auto"/>
        <w:right w:val="none" w:sz="0" w:space="0" w:color="auto"/>
      </w:divBdr>
    </w:div>
    <w:div w:id="794758737">
      <w:bodyDiv w:val="1"/>
      <w:marLeft w:val="0"/>
      <w:marRight w:val="0"/>
      <w:marTop w:val="0"/>
      <w:marBottom w:val="0"/>
      <w:divBdr>
        <w:top w:val="none" w:sz="0" w:space="0" w:color="auto"/>
        <w:left w:val="none" w:sz="0" w:space="0" w:color="auto"/>
        <w:bottom w:val="none" w:sz="0" w:space="0" w:color="auto"/>
        <w:right w:val="none" w:sz="0" w:space="0" w:color="auto"/>
      </w:divBdr>
    </w:div>
    <w:div w:id="938758226">
      <w:bodyDiv w:val="1"/>
      <w:marLeft w:val="0"/>
      <w:marRight w:val="0"/>
      <w:marTop w:val="0"/>
      <w:marBottom w:val="0"/>
      <w:divBdr>
        <w:top w:val="none" w:sz="0" w:space="0" w:color="auto"/>
        <w:left w:val="none" w:sz="0" w:space="0" w:color="auto"/>
        <w:bottom w:val="none" w:sz="0" w:space="0" w:color="auto"/>
        <w:right w:val="none" w:sz="0" w:space="0" w:color="auto"/>
      </w:divBdr>
    </w:div>
    <w:div w:id="142102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4</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 Skourup</dc:creator>
  <cp:keywords/>
  <dc:description/>
  <cp:lastModifiedBy>Henriette Skourup</cp:lastModifiedBy>
  <cp:revision>303</cp:revision>
  <cp:lastPrinted>2011-04-01T09:51:00Z</cp:lastPrinted>
  <dcterms:created xsi:type="dcterms:W3CDTF">2011-03-03T12:01:00Z</dcterms:created>
  <dcterms:modified xsi:type="dcterms:W3CDTF">2011-04-01T09:59:00Z</dcterms:modified>
</cp:coreProperties>
</file>